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5D" w:rsidRDefault="0064635D" w:rsidP="00A538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86D" w:rsidRDefault="00A5386D" w:rsidP="00A53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К Р АЇ Н А</w:t>
      </w:r>
    </w:p>
    <w:p w:rsidR="00A5386D" w:rsidRDefault="00A5386D" w:rsidP="00A53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 СЕСІЯ МАЛОВИСКІВСЬКОЇ МІСЬКОЇ РАДИ</w:t>
      </w:r>
    </w:p>
    <w:p w:rsidR="00A5386D" w:rsidRDefault="00A5386D" w:rsidP="00A53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ШОСТОГО СКЛИКАННЯ</w:t>
      </w:r>
    </w:p>
    <w:p w:rsidR="00A5386D" w:rsidRDefault="00A5386D" w:rsidP="00A5386D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РІШЕННЯ</w:t>
      </w:r>
    </w:p>
    <w:p w:rsidR="00A5386D" w:rsidRDefault="00A5386D" w:rsidP="0064635D">
      <w:pPr>
        <w:spacing w:after="0" w:line="240" w:lineRule="auto"/>
        <w:ind w:right="52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A5386D">
      <w:pPr>
        <w:spacing w:after="0" w:line="240" w:lineRule="auto"/>
        <w:ind w:right="52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схвалення проекту рішення Маловисківської міської ради «Про добровільне об’єднання територіальних громад»</w:t>
      </w:r>
    </w:p>
    <w:p w:rsidR="0064635D" w:rsidRDefault="0064635D" w:rsidP="0064635D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635D" w:rsidRDefault="0064635D" w:rsidP="0064635D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Відповідно до частини 3 статті 7 Закону України «Про добровільне об’єднання територіальних громад», розглянувши проект рішення міської  ради «Про добровільне об’єднання територіальних громад», підготовлений спільною робочою групою, результати громадських обговорень міська рада вирішила:</w:t>
      </w:r>
    </w:p>
    <w:p w:rsidR="0064635D" w:rsidRDefault="0064635D" w:rsidP="006463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Визнати таким, що втратив чинність рішення Маловисківської мі</w:t>
      </w:r>
      <w:r w:rsidR="00F948A5">
        <w:rPr>
          <w:rFonts w:ascii="Times New Roman" w:eastAsia="Calibri" w:hAnsi="Times New Roman" w:cs="Times New Roman"/>
          <w:sz w:val="24"/>
          <w:szCs w:val="24"/>
        </w:rPr>
        <w:t xml:space="preserve">ської ради від 26 </w:t>
      </w:r>
      <w:r>
        <w:rPr>
          <w:rFonts w:ascii="Times New Roman" w:eastAsia="Calibri" w:hAnsi="Times New Roman" w:cs="Times New Roman"/>
          <w:sz w:val="24"/>
          <w:szCs w:val="24"/>
        </w:rPr>
        <w:t>червня 2015 року.</w:t>
      </w:r>
    </w:p>
    <w:p w:rsidR="0064635D" w:rsidRDefault="0064635D" w:rsidP="006463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Схвалити проект рішення міської  ради «Про добровільне об’єднання територіальних громад», підготовлений спільною робочою групою (додаток №1).</w:t>
      </w:r>
    </w:p>
    <w:p w:rsidR="0064635D" w:rsidRDefault="0064635D" w:rsidP="006463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Маловисківському міському  голові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Гульдасу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Ю.Л. подати проект рішення міської  ради «Про добровільне об’єднання територіальних громад» до Кіровоградської обласної державної адміністрації для надання висновку щодо відповідності вищезазначеного  проекту Конституції та законам України.</w:t>
      </w:r>
    </w:p>
    <w:p w:rsidR="0064635D" w:rsidRDefault="0064635D" w:rsidP="0064635D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35D" w:rsidRDefault="0064635D" w:rsidP="0064635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35D" w:rsidRDefault="0064635D" w:rsidP="0064635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35D" w:rsidRDefault="0064635D" w:rsidP="0064635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Маловисківський міський  голова                                          Ю.Л.Гульдас</w:t>
      </w: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86D" w:rsidRDefault="00A5386D" w:rsidP="0064635D">
      <w:pPr>
        <w:spacing w:after="0" w:line="240" w:lineRule="auto"/>
        <w:ind w:left="426" w:firstLine="46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86D" w:rsidRDefault="00A5386D" w:rsidP="0064635D">
      <w:pPr>
        <w:spacing w:after="0" w:line="240" w:lineRule="auto"/>
        <w:ind w:left="426" w:firstLine="46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86D" w:rsidRDefault="00A5386D" w:rsidP="0064635D">
      <w:pPr>
        <w:spacing w:after="0" w:line="240" w:lineRule="auto"/>
        <w:ind w:left="426" w:firstLine="46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86D" w:rsidRDefault="00A5386D" w:rsidP="0064635D">
      <w:pPr>
        <w:spacing w:after="0" w:line="240" w:lineRule="auto"/>
        <w:ind w:left="426" w:firstLine="46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left="426" w:firstLine="46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Додаток №1</w:t>
      </w:r>
    </w:p>
    <w:p w:rsidR="0064635D" w:rsidRDefault="0064635D" w:rsidP="0064635D">
      <w:pPr>
        <w:spacing w:after="0" w:line="240" w:lineRule="auto"/>
        <w:ind w:left="426" w:firstLine="46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 рішення Маловисківської </w:t>
      </w:r>
    </w:p>
    <w:p w:rsidR="0064635D" w:rsidRDefault="0064635D" w:rsidP="0064635D">
      <w:pPr>
        <w:spacing w:after="0" w:line="240" w:lineRule="auto"/>
        <w:ind w:left="426" w:firstLine="46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міської ради від ____ року №__</w:t>
      </w:r>
    </w:p>
    <w:p w:rsidR="0064635D" w:rsidRDefault="0064635D" w:rsidP="00646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К Р АЇ Н А</w:t>
      </w:r>
    </w:p>
    <w:p w:rsidR="0064635D" w:rsidRDefault="0064635D" w:rsidP="00646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 СЕСІЯ МАЛОВИСКІВСЬКОЇ МІСЬКОЇ РАДИ</w:t>
      </w:r>
    </w:p>
    <w:p w:rsidR="0064635D" w:rsidRDefault="0064635D" w:rsidP="00646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ШОСТОГО СКЛИКАННЯ</w:t>
      </w:r>
    </w:p>
    <w:p w:rsidR="0064635D" w:rsidRDefault="00A5386D" w:rsidP="00646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РІШЕННЯ</w:t>
      </w:r>
    </w:p>
    <w:p w:rsidR="0064635D" w:rsidRDefault="0064635D" w:rsidP="006463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 « ___» _____ 2015 року                                                 № </w:t>
      </w:r>
    </w:p>
    <w:p w:rsidR="0064635D" w:rsidRDefault="0064635D" w:rsidP="0064635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35D" w:rsidRDefault="0064635D" w:rsidP="0064635D">
      <w:pPr>
        <w:spacing w:after="0"/>
        <w:ind w:right="52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35D" w:rsidRDefault="0064635D" w:rsidP="0064635D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добровільне об’єднання територіальних громад</w:t>
      </w:r>
    </w:p>
    <w:p w:rsidR="0064635D" w:rsidRDefault="0064635D" w:rsidP="00646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35D" w:rsidRDefault="0064635D" w:rsidP="0064635D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Відповідно до статей 2, 4, 6, 7 Закону України «Про добровільне об’єднання територіальних громад» Маловисківська міська рада вирішила:</w:t>
      </w:r>
    </w:p>
    <w:p w:rsidR="0064635D" w:rsidRDefault="0064635D" w:rsidP="006463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Об’єднатися з територіальними громадами сіл Олександрівка,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Новомиколаївка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Тарасівка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сільської ради, села Первомайське Первомайської сільської ради, сіл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Паліївка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Паліївської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сільської ради, села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Краснопілка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селищ Комсомольське,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Улянівка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міста Мала Виска Маловисківської міської ради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Маловисківську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міську об’єднану територіальну громаду з центром у місті Мала Виска.</w:t>
      </w:r>
    </w:p>
    <w:p w:rsidR="0064635D" w:rsidRDefault="0064635D" w:rsidP="006463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Доручити  Маловисківському міському голові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Гульдасу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Ю.Л. звернутися до Кіровоградської обласної ради з клопотанням про утворення Маловисківської міської об’єднаної  територіальної громади.</w:t>
      </w:r>
    </w:p>
    <w:p w:rsidR="0064635D" w:rsidRDefault="0064635D" w:rsidP="006463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Затвердити план організаційних заходів щодо добровільного об’єднання </w:t>
      </w:r>
      <w:r w:rsidR="00A5386D">
        <w:rPr>
          <w:rFonts w:ascii="Times New Roman" w:eastAsia="Calibri" w:hAnsi="Times New Roman" w:cs="Times New Roman"/>
          <w:sz w:val="24"/>
          <w:szCs w:val="24"/>
        </w:rPr>
        <w:t xml:space="preserve">територіальних громад (додаток </w:t>
      </w:r>
      <w:r w:rsidR="00F948A5">
        <w:rPr>
          <w:rFonts w:ascii="Times New Roman" w:eastAsia="Calibri" w:hAnsi="Times New Roman" w:cs="Times New Roman"/>
          <w:sz w:val="24"/>
          <w:szCs w:val="24"/>
        </w:rPr>
        <w:t>№</w:t>
      </w:r>
      <w:r w:rsidR="00A5386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4635D" w:rsidRDefault="0064635D" w:rsidP="006463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Повноваження Маловисківської міської ради та міського голови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Гульдаса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Ю.Л. припинити з моменту набуття повноважень новообраним органом місцевого самоврядування, міським головою об’єднаної територіальної громади, утвореної внаслідок добровільного об’єднання.</w:t>
      </w:r>
    </w:p>
    <w:p w:rsidR="0064635D" w:rsidRDefault="0064635D" w:rsidP="006463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Правонаступником активів і пасивів (зобов’язань) Маловисківської міської ради визначити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Маловисківську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міську об’єднану територіальну  громаду, утворену внаслідок добровільного об’єднання.</w:t>
      </w:r>
    </w:p>
    <w:p w:rsidR="0064635D" w:rsidRDefault="0064635D" w:rsidP="0064635D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35D" w:rsidRDefault="0064635D" w:rsidP="0064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35D" w:rsidRDefault="0064635D" w:rsidP="0064635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Міський голова                                                 Ю. Л. Гульдас</w:t>
      </w:r>
    </w:p>
    <w:p w:rsidR="0064635D" w:rsidRDefault="0064635D" w:rsidP="0064635D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35D" w:rsidRDefault="0064635D" w:rsidP="006463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948A5" w:rsidRDefault="00F948A5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5386D" w:rsidRDefault="0064635D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F948A5">
        <w:rPr>
          <w:rFonts w:ascii="Times New Roman" w:hAnsi="Times New Roman" w:cs="Times New Roman"/>
          <w:sz w:val="24"/>
          <w:szCs w:val="24"/>
          <w:lang w:val="ru-RU"/>
        </w:rPr>
        <w:t xml:space="preserve"> 1 до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r>
        <w:rPr>
          <w:rFonts w:ascii="Times New Roman" w:hAnsi="Times New Roman" w:cs="Times New Roman"/>
          <w:sz w:val="24"/>
          <w:szCs w:val="24"/>
        </w:rPr>
        <w:t>рішенн</w:t>
      </w:r>
      <w:r w:rsidR="00A5386D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4635D" w:rsidRDefault="00A5386D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Маловисківської  міської ради</w:t>
      </w:r>
    </w:p>
    <w:p w:rsidR="0064635D" w:rsidRDefault="0064635D" w:rsidP="00A5386D">
      <w:pPr>
        <w:pStyle w:val="a3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__________________ № ________</w:t>
      </w:r>
    </w:p>
    <w:p w:rsidR="0064635D" w:rsidRDefault="0064635D" w:rsidP="0064635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635D" w:rsidRDefault="0064635D" w:rsidP="0064635D">
      <w:pPr>
        <w:pStyle w:val="a3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64635D" w:rsidRDefault="0064635D" w:rsidP="0064635D">
      <w:pPr>
        <w:pStyle w:val="a3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64635D" w:rsidRDefault="0064635D" w:rsidP="006463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64635D" w:rsidRDefault="0064635D" w:rsidP="006463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організаційних заходів щодо добровільного об'єднання територіальних громад</w:t>
      </w:r>
    </w:p>
    <w:p w:rsidR="0064635D" w:rsidRDefault="0064635D" w:rsidP="006463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635D" w:rsidRDefault="0064635D" w:rsidP="006463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21"/>
        <w:gridCol w:w="5086"/>
      </w:tblGrid>
      <w:tr w:rsidR="0064635D" w:rsidTr="006463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</w:p>
          <w:p w:rsidR="0064635D" w:rsidRDefault="0064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</w:tr>
      <w:tr w:rsidR="0064635D" w:rsidTr="0064635D">
        <w:trPr>
          <w:trHeight w:val="2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Оптимізувати діяльність апарату виконавчих органів об’єднаної  територіальної громади та їх структурних підрозділів </w:t>
            </w:r>
          </w:p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Розробити організаційну структуру та штатний розпис Маловисківської міської  об’єднаної територіальної громади;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утворити необхідні структурні підрозділи та штатні одиниці;</w:t>
            </w:r>
          </w:p>
          <w:p w:rsidR="0064635D" w:rsidRDefault="0064635D" w:rsidP="00A5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відповідні положення та посадові інструкції </w:t>
            </w:r>
          </w:p>
        </w:tc>
      </w:tr>
      <w:tr w:rsidR="0064635D" w:rsidTr="0064635D">
        <w:trPr>
          <w:trHeight w:val="2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якість та доступність публічних, адміністративних послуг, що надаються в об'єднаній територіальній громаді на рівні не нижчому ніж до об’єднання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 w:rsidP="00F948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Утворити Центр над</w:t>
            </w:r>
            <w:r w:rsidR="00A5386D">
              <w:rPr>
                <w:rFonts w:ascii="Times New Roman" w:hAnsi="Times New Roman" w:cs="Times New Roman"/>
                <w:sz w:val="24"/>
                <w:szCs w:val="24"/>
              </w:rPr>
              <w:t xml:space="preserve">ання адміністративних послуг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Маловисківській міській територіальній громаді з центром м Мала Виска</w:t>
            </w:r>
          </w:p>
        </w:tc>
      </w:tr>
      <w:tr w:rsidR="0064635D" w:rsidTr="0064635D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стабільний соціально - економічний розвиток</w:t>
            </w:r>
          </w:p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громади</w:t>
            </w:r>
          </w:p>
        </w:tc>
      </w:tr>
      <w:tr w:rsidR="0064635D" w:rsidTr="0064635D">
        <w:trPr>
          <w:trHeight w:val="1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5D" w:rsidRDefault="0064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транспортної інфраструктури та поліпшення тра</w:t>
            </w:r>
            <w:r w:rsidR="00F948A5">
              <w:rPr>
                <w:rFonts w:ascii="Times New Roman" w:hAnsi="Times New Roman" w:cs="Times New Roman"/>
                <w:sz w:val="24"/>
                <w:szCs w:val="24"/>
              </w:rPr>
              <w:t xml:space="preserve">нспортного сполучення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населених пунктів з центром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’єднаної громади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Утворити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комунальне підприємств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для надання  послуг з перевезення пасажирів;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придбати транспорт для надання цих послуг;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розрахунок та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економічно -  обґрунтованого тарифу для пасажирів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4635D" w:rsidTr="0064635D">
        <w:trPr>
          <w:trHeight w:val="8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5D" w:rsidRDefault="0064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Збереження та розвиток мережі об’єктів охорони здоров’я,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ідвищення якості медичного обслуговування (особливо закладів з надання первинної медичної допомоги)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Виконати поточні та капітальні ремонти</w:t>
            </w:r>
            <w:r w:rsidR="00F948A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закладів охорони здоров’я </w:t>
            </w:r>
            <w:r w:rsidR="00A5386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 надання первинної медичної допомоги, що знаходяться на території Маловисківської міської ОТГ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придбати </w:t>
            </w:r>
            <w:r w:rsidR="00A5386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для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медичне обладнання та інвентар;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забезпечити об’єкти охорони здоров’я засобами для надання первинної медичної допомоги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8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Збереження та розвиток мережі об’єктів дошкільної та загальної освіти. </w:t>
            </w:r>
            <w:r>
              <w:rPr>
                <w:rFonts w:ascii="Times New Roman" w:hAnsi="Times New Roman" w:cs="Times New Roman"/>
                <w:sz w:val="24"/>
              </w:rPr>
              <w:t>Забезпечення рівного доступу громадян об’єднаної  громади до якісної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Виконати поточні та капітальні ремонтів будівель</w:t>
            </w:r>
            <w:r w:rsidR="00A5386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загальноосвітніх та дошкільних навчальних закладів, які знаходяться на території Маловисківської ОТГ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; 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покращити матеріально-технічну базу закладів (придбання меблів, інвентарю та обладнання)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4635D" w:rsidTr="0064635D">
        <w:trPr>
          <w:trHeight w:val="83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умов для здорового способу життя, розвиток фізичної культури та спорту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Організувати спортивні майданчики (з вуличним тренажерним та гімнастичним обладнанням), особливо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населених пунктах, мешканці яких раніше не мали доступу до них;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виконати поточні та капітальні ремонти існуючих спортивних об’єктів;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максимально залучати населення об’єднаної громади до занять фізичною культурою та спортом</w:t>
            </w:r>
          </w:p>
        </w:tc>
      </w:tr>
      <w:tr w:rsidR="0064635D" w:rsidTr="0064635D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та збереження мер</w:t>
            </w:r>
            <w:r w:rsidR="00F948A5">
              <w:rPr>
                <w:rFonts w:ascii="Times New Roman" w:hAnsi="Times New Roman" w:cs="Times New Roman"/>
                <w:sz w:val="24"/>
                <w:szCs w:val="24"/>
              </w:rPr>
              <w:t>ежі закладів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музейної справи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Збереження культурного потенціалу національної культурної спадщини об’єднаної </w:t>
            </w:r>
            <w:r w:rsidR="00F948A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громади, підтримка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аматорського мистецтва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Виконати поточні та капітальні ремонти </w:t>
            </w:r>
            <w:r w:rsidR="00F948A5">
              <w:rPr>
                <w:rFonts w:ascii="Times New Roman" w:hAnsi="Times New Roman" w:cs="Times New Roman"/>
                <w:sz w:val="24"/>
                <w:szCs w:val="24"/>
              </w:rPr>
              <w:t>закладів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музейної справи;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організовувати та проводити культурно-масові та мистецькі заходи в населених пунктах об’єднаної громади;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залучати населення об’єднаної громади до культурного життя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навколишнього природного середовища (атмосферне повітря, водні та земельні ресурси)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Організовувати зелені зони, збільшити кількість зелених насаджень;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моніторинг атмосферного повітря та підземних вод; 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схему санітарної очистки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об’єднаної громади;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спільні акції з благоустрою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об’єднаної громади за участю населення («День довкілля» та ін.)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доступу мешканців об’єднаної громади до соціально-побутових сфер обслуговування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Організовувати виїзні торгівлі, ярмарки (сезонних товарів, садово-городніх  культур,  товарів щоденного вжитку, одягу та взуття, тощо)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сприяти розвитку мережі побутового обслуговування, особливо  мешканців віддалених населених  пунктів (перукарні, ремонт взуття, пошив одягу та інше)</w:t>
            </w:r>
          </w:p>
          <w:p w:rsidR="0064635D" w:rsidRDefault="0064635D">
            <w:pPr>
              <w:pStyle w:val="a3"/>
              <w:jc w:val="both"/>
              <w:rPr>
                <w:lang w:eastAsia="ru-RU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надання якісних житлово-комунальних послуг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Придбати додаткові одиниці техніки; збільшити чисельність працівників комунальних підприємств з залученням мешканців віддалених населених пунктів; здійснити розрахунок та затвердити економічно  обґрунтовані тарифи на ЖК послуги в об’єднаній громаді;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укласти  договори з новими споживачами</w:t>
            </w:r>
            <w:r w:rsidR="00A5386D">
              <w:rPr>
                <w:rFonts w:ascii="Times New Roman" w:hAnsi="Times New Roman" w:cs="Times New Roman"/>
                <w:sz w:val="24"/>
                <w:szCs w:val="24"/>
              </w:rPr>
              <w:t xml:space="preserve"> послуг, які надаються КП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водопостачання  об’єднаної громади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свердловин,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бюветів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нових мереж водопостачання по території об’єднаної громади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Технічне переоснащення та розвиток комунальної інфраструктури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Впровадити енергозбері</w:t>
            </w:r>
            <w:r w:rsidR="00A5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гаючі технології,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виконати поточні та капітальні ремонти існуючих систем во</w:t>
            </w:r>
            <w:r w:rsidR="00A5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допостачання та водовідведення, будівництво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мереж теплопостачання тощо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Благоустрій території об’єднаної громади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6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Здійснити заходи з:</w:t>
            </w:r>
            <w:r w:rsidR="00A5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внутрішніх доріг та тротуарів, встановлення бордюрів, відсипка доріг без твердого покриття; 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влаштування пандусів в місцях загального користування;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ремонту малих архітектурних форм, пам’ятників;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вирішення проблеми безпритульних тварин;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дитячих майданчиків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Забезпечити вирішення потреб населення і господарського комплексу об’єднаної громади в послугах з освітлення та забезпечення безпеки дорожнього руху і попередження правопорушень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Утримувати в належному технічному стані існуючі мережі зовнішнього освітлення;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своєчасно фінансувати заходи по будівництву, реконструкції та ремонту мереж зовнішнього освітлення;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використовувати новітні енергозберігаючі технології  у сфері зовнішнього освітлення;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здійснювати оснащення модернізованими лічильниками обліку електричної енергії;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визначити пріоритетні ділянки для виконання першочергових заходів з комплексної реконструкції  та влаштування нових мереж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Створити умови для розвитку підприємницького та інвестиційного середовища 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Провести  інвентаризацію інвестиційних об’єктів об’єднаної громади;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створити базу даних інвестиційних пропозицій, земельних ділянок та будівель;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провести аналіз можливостей залучення інвестицій і використання виробничих площ;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налагодити контакти та співпрацю із професійними національними та іноземними агенціями з питань залучення інвестицій;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організувати систему тренінгів та консультацій для підприємців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земельних відносин, </w:t>
            </w:r>
            <w:r>
              <w:rPr>
                <w:rFonts w:ascii="Times New Roman" w:hAnsi="Times New Roman" w:cs="Times New Roman"/>
                <w:color w:val="000000"/>
              </w:rPr>
              <w:t>створення умов для раціонального використання земельних ресурсів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Скласти топографічний план, встановити межі, провести інвентаризацію земель, виконати нормативно-грошову оцінку земель, розмежувати земель державної та комунальної власності, скласти Генеральний план території об’єднаної громади</w:t>
            </w:r>
          </w:p>
          <w:p w:rsidR="0064635D" w:rsidRDefault="0064635D">
            <w:pPr>
              <w:pStyle w:val="a3"/>
              <w:jc w:val="both"/>
              <w:rPr>
                <w:lang w:val="ru-RU" w:eastAsia="ru-RU"/>
              </w:rPr>
            </w:pPr>
          </w:p>
        </w:tc>
      </w:tr>
      <w:tr w:rsidR="00F948A5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A5" w:rsidRDefault="00F948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A5" w:rsidRDefault="00F948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матеріально – технічною базою КП  ОТГ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A5" w:rsidRDefault="00F948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Придбання спецтехніки:</w:t>
            </w:r>
            <w:r w:rsidR="00E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машина швидкої допомоги, </w:t>
            </w:r>
            <w:r w:rsidR="00E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пожежна спеціалізована машина, </w:t>
            </w:r>
            <w:proofErr w:type="spellStart"/>
            <w:r w:rsidR="00E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proofErr w:type="spellEnd"/>
            <w:r w:rsidR="00E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збирання сміття тощо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Конституційні права та законні інтересів мешканців об’єднаної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громади, охорона громадського порядку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Створити муніципальну структуру з охорони громадського порядку та профілактики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правопорушень об’єднаної громади;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місце дислокації структури;</w:t>
            </w:r>
          </w:p>
          <w:p w:rsidR="0064635D" w:rsidRDefault="0064635D">
            <w:pPr>
              <w:pStyle w:val="a3"/>
              <w:jc w:val="both"/>
              <w:rPr>
                <w:rStyle w:val="xfm91740863"/>
              </w:rPr>
            </w:pPr>
            <w:r>
              <w:rPr>
                <w:rStyle w:val="xfm91740863"/>
                <w:rFonts w:ascii="Times New Roman" w:hAnsi="Times New Roman" w:cs="Times New Roman"/>
                <w:sz w:val="24"/>
                <w:szCs w:val="24"/>
              </w:rPr>
              <w:t>сприяти оперативному реагуванню на  звернення громадян та їх своєчасному розгляду; </w:t>
            </w:r>
          </w:p>
          <w:p w:rsidR="0064635D" w:rsidRDefault="0064635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доступність для населення в отриманні кваліфікованої правової допомоги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5D" w:rsidTr="0064635D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5D" w:rsidRDefault="0064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інформаційного простору, формування надійної системи зв’язку влади з громадськістю об’єднаної громади</w:t>
            </w:r>
          </w:p>
          <w:p w:rsidR="0064635D" w:rsidRDefault="0064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друкований засіб масової інформації об’єднаної громади;</w:t>
            </w:r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 заходи для з</w:t>
            </w:r>
            <w:r w:rsidR="00E454F0">
              <w:rPr>
                <w:rFonts w:ascii="Times New Roman" w:hAnsi="Times New Roman" w:cs="Times New Roman"/>
                <w:sz w:val="24"/>
                <w:szCs w:val="24"/>
              </w:rPr>
              <w:t>абезпечення мешканців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населених пунктів</w:t>
            </w:r>
            <w:r w:rsidR="00E454F0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до мережі Інтернет та кабельного телебачення;</w:t>
            </w:r>
          </w:p>
          <w:p w:rsidR="0064635D" w:rsidRDefault="00A53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вивчати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врахував</w:t>
            </w:r>
            <w:r w:rsidR="0064635D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proofErr w:type="spellEnd"/>
            <w:r w:rsidR="0064635D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громадську думку  при </w:t>
            </w:r>
            <w:proofErr w:type="spellStart"/>
            <w:r w:rsidR="00E454F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E4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5D">
              <w:rPr>
                <w:rFonts w:ascii="Times New Roman" w:hAnsi="Times New Roman" w:cs="Times New Roman"/>
                <w:sz w:val="24"/>
                <w:szCs w:val="24"/>
              </w:rPr>
              <w:t>прийнятті рішень з важливих соціально-економічних питань</w:t>
            </w:r>
            <w:r w:rsidR="00E454F0">
              <w:rPr>
                <w:rFonts w:ascii="Times New Roman" w:hAnsi="Times New Roman" w:cs="Times New Roman"/>
                <w:sz w:val="24"/>
                <w:szCs w:val="24"/>
              </w:rPr>
              <w:t xml:space="preserve"> враховувати думку мешканців ОТГ шляхом проведення соцопитувань та анкетувань</w:t>
            </w:r>
            <w:r w:rsidR="00646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35D" w:rsidRPr="00E454F0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та забезпечити роботу офіційно</w:t>
            </w:r>
            <w:r w:rsidR="00E454F0">
              <w:rPr>
                <w:rFonts w:ascii="Times New Roman" w:hAnsi="Times New Roman" w:cs="Times New Roman"/>
                <w:sz w:val="24"/>
                <w:szCs w:val="24"/>
              </w:rPr>
              <w:t>го веб-сайту об’єднаної громади</w:t>
            </w:r>
            <w:bookmarkStart w:id="0" w:name="_GoBack"/>
            <w:bookmarkEnd w:id="0"/>
          </w:p>
          <w:p w:rsidR="0064635D" w:rsidRDefault="0064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635D" w:rsidRDefault="0064635D" w:rsidP="0064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5D" w:rsidRDefault="0064635D" w:rsidP="00646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635D" w:rsidRDefault="0064635D" w:rsidP="00646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635D" w:rsidRDefault="0064635D" w:rsidP="006463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Маловисківський міський голова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Ю. Л. Гульдас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635D" w:rsidRDefault="0064635D" w:rsidP="00646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5D" w:rsidRDefault="0064635D" w:rsidP="00646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6E" w:rsidRDefault="0042396E"/>
    <w:sectPr w:rsidR="00423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3C"/>
    <w:multiLevelType w:val="hybridMultilevel"/>
    <w:tmpl w:val="743229BE"/>
    <w:lvl w:ilvl="0" w:tplc="B75CB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43B25"/>
    <w:multiLevelType w:val="hybridMultilevel"/>
    <w:tmpl w:val="55C256B4"/>
    <w:lvl w:ilvl="0" w:tplc="C87CC8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D"/>
    <w:rsid w:val="000057D8"/>
    <w:rsid w:val="00005A20"/>
    <w:rsid w:val="00010BFF"/>
    <w:rsid w:val="00027CA3"/>
    <w:rsid w:val="00041765"/>
    <w:rsid w:val="00065199"/>
    <w:rsid w:val="0006577A"/>
    <w:rsid w:val="00083126"/>
    <w:rsid w:val="00093DDA"/>
    <w:rsid w:val="000961A2"/>
    <w:rsid w:val="000C67A1"/>
    <w:rsid w:val="000C701B"/>
    <w:rsid w:val="000D0BE3"/>
    <w:rsid w:val="000F1DA1"/>
    <w:rsid w:val="000F5412"/>
    <w:rsid w:val="00101B91"/>
    <w:rsid w:val="0013646D"/>
    <w:rsid w:val="001653E4"/>
    <w:rsid w:val="00173171"/>
    <w:rsid w:val="00174858"/>
    <w:rsid w:val="00196561"/>
    <w:rsid w:val="001975FD"/>
    <w:rsid w:val="001A003F"/>
    <w:rsid w:val="001A1008"/>
    <w:rsid w:val="001A10B4"/>
    <w:rsid w:val="001A14AF"/>
    <w:rsid w:val="001A5384"/>
    <w:rsid w:val="001B60CA"/>
    <w:rsid w:val="001C5E5C"/>
    <w:rsid w:val="001D0319"/>
    <w:rsid w:val="001D0F8E"/>
    <w:rsid w:val="001E076A"/>
    <w:rsid w:val="001E46D0"/>
    <w:rsid w:val="001F32A6"/>
    <w:rsid w:val="001F555C"/>
    <w:rsid w:val="002011BA"/>
    <w:rsid w:val="00203E0E"/>
    <w:rsid w:val="00207CDC"/>
    <w:rsid w:val="00227EF4"/>
    <w:rsid w:val="002531E6"/>
    <w:rsid w:val="0025543A"/>
    <w:rsid w:val="00267BD1"/>
    <w:rsid w:val="002710B2"/>
    <w:rsid w:val="002714E1"/>
    <w:rsid w:val="00271D5C"/>
    <w:rsid w:val="002735CF"/>
    <w:rsid w:val="00284C16"/>
    <w:rsid w:val="00290A75"/>
    <w:rsid w:val="00292784"/>
    <w:rsid w:val="002A0AA3"/>
    <w:rsid w:val="002A6303"/>
    <w:rsid w:val="002A71F0"/>
    <w:rsid w:val="002C6F81"/>
    <w:rsid w:val="002D0F0C"/>
    <w:rsid w:val="002E28E0"/>
    <w:rsid w:val="002E3E01"/>
    <w:rsid w:val="003019D0"/>
    <w:rsid w:val="00302200"/>
    <w:rsid w:val="003052A6"/>
    <w:rsid w:val="0032373D"/>
    <w:rsid w:val="00332FF8"/>
    <w:rsid w:val="00336813"/>
    <w:rsid w:val="0035622D"/>
    <w:rsid w:val="003874BD"/>
    <w:rsid w:val="003940BA"/>
    <w:rsid w:val="00397C98"/>
    <w:rsid w:val="003A3E64"/>
    <w:rsid w:val="003B3A8D"/>
    <w:rsid w:val="003B7AC6"/>
    <w:rsid w:val="003C5085"/>
    <w:rsid w:val="003C7CE8"/>
    <w:rsid w:val="003D3502"/>
    <w:rsid w:val="003E1033"/>
    <w:rsid w:val="003E3B7F"/>
    <w:rsid w:val="0040353F"/>
    <w:rsid w:val="00405937"/>
    <w:rsid w:val="004216E6"/>
    <w:rsid w:val="0042396E"/>
    <w:rsid w:val="00432B1B"/>
    <w:rsid w:val="00435CA0"/>
    <w:rsid w:val="0045527F"/>
    <w:rsid w:val="00490FA1"/>
    <w:rsid w:val="004A2746"/>
    <w:rsid w:val="004A6E80"/>
    <w:rsid w:val="004B7127"/>
    <w:rsid w:val="004C7C0D"/>
    <w:rsid w:val="00507B0F"/>
    <w:rsid w:val="00513C6F"/>
    <w:rsid w:val="00554535"/>
    <w:rsid w:val="00562EDA"/>
    <w:rsid w:val="00574D06"/>
    <w:rsid w:val="005948AC"/>
    <w:rsid w:val="005964A8"/>
    <w:rsid w:val="005A703F"/>
    <w:rsid w:val="005C04CE"/>
    <w:rsid w:val="005C2266"/>
    <w:rsid w:val="005C237B"/>
    <w:rsid w:val="005D1160"/>
    <w:rsid w:val="005F01C8"/>
    <w:rsid w:val="006066BA"/>
    <w:rsid w:val="00606B6E"/>
    <w:rsid w:val="0063331D"/>
    <w:rsid w:val="00644DB7"/>
    <w:rsid w:val="006453E9"/>
    <w:rsid w:val="0064635D"/>
    <w:rsid w:val="0065229E"/>
    <w:rsid w:val="00682E26"/>
    <w:rsid w:val="00683349"/>
    <w:rsid w:val="006842E3"/>
    <w:rsid w:val="0069360A"/>
    <w:rsid w:val="006A2DD7"/>
    <w:rsid w:val="006B0C2F"/>
    <w:rsid w:val="006B5B09"/>
    <w:rsid w:val="006C697B"/>
    <w:rsid w:val="006D6B29"/>
    <w:rsid w:val="006E4C5C"/>
    <w:rsid w:val="006F64D5"/>
    <w:rsid w:val="00703C33"/>
    <w:rsid w:val="007354BA"/>
    <w:rsid w:val="00751254"/>
    <w:rsid w:val="00762EE6"/>
    <w:rsid w:val="007807D5"/>
    <w:rsid w:val="0079401B"/>
    <w:rsid w:val="00795429"/>
    <w:rsid w:val="00796AA9"/>
    <w:rsid w:val="007B7CD7"/>
    <w:rsid w:val="007C5210"/>
    <w:rsid w:val="007D42BD"/>
    <w:rsid w:val="007E0501"/>
    <w:rsid w:val="007E2BC1"/>
    <w:rsid w:val="008008F6"/>
    <w:rsid w:val="0080756C"/>
    <w:rsid w:val="00810E96"/>
    <w:rsid w:val="00845C42"/>
    <w:rsid w:val="00853F60"/>
    <w:rsid w:val="00854896"/>
    <w:rsid w:val="0087169C"/>
    <w:rsid w:val="008732A8"/>
    <w:rsid w:val="00875CD7"/>
    <w:rsid w:val="00885843"/>
    <w:rsid w:val="008C1F3F"/>
    <w:rsid w:val="008E3F14"/>
    <w:rsid w:val="008F0C12"/>
    <w:rsid w:val="00905E5D"/>
    <w:rsid w:val="00905FFF"/>
    <w:rsid w:val="0091119F"/>
    <w:rsid w:val="009171BB"/>
    <w:rsid w:val="00920BCB"/>
    <w:rsid w:val="0094321D"/>
    <w:rsid w:val="009579A9"/>
    <w:rsid w:val="009735CA"/>
    <w:rsid w:val="00974714"/>
    <w:rsid w:val="00980A36"/>
    <w:rsid w:val="009A1630"/>
    <w:rsid w:val="009A7773"/>
    <w:rsid w:val="009C695A"/>
    <w:rsid w:val="009E451B"/>
    <w:rsid w:val="009F0AE7"/>
    <w:rsid w:val="009F3248"/>
    <w:rsid w:val="00A015DE"/>
    <w:rsid w:val="00A027D9"/>
    <w:rsid w:val="00A06BBE"/>
    <w:rsid w:val="00A119D2"/>
    <w:rsid w:val="00A20A23"/>
    <w:rsid w:val="00A5386D"/>
    <w:rsid w:val="00A56FCD"/>
    <w:rsid w:val="00A600C7"/>
    <w:rsid w:val="00A619A3"/>
    <w:rsid w:val="00A64378"/>
    <w:rsid w:val="00A6782C"/>
    <w:rsid w:val="00A70EA1"/>
    <w:rsid w:val="00A71D69"/>
    <w:rsid w:val="00A82E8B"/>
    <w:rsid w:val="00A9748A"/>
    <w:rsid w:val="00AA28E8"/>
    <w:rsid w:val="00AD1915"/>
    <w:rsid w:val="00AD6897"/>
    <w:rsid w:val="00AE29C4"/>
    <w:rsid w:val="00AE420C"/>
    <w:rsid w:val="00AE5800"/>
    <w:rsid w:val="00AF152C"/>
    <w:rsid w:val="00B01FE7"/>
    <w:rsid w:val="00B03308"/>
    <w:rsid w:val="00B0373B"/>
    <w:rsid w:val="00B04FA7"/>
    <w:rsid w:val="00B158EF"/>
    <w:rsid w:val="00B23A88"/>
    <w:rsid w:val="00B2450E"/>
    <w:rsid w:val="00B27EB3"/>
    <w:rsid w:val="00B4548E"/>
    <w:rsid w:val="00B51F9B"/>
    <w:rsid w:val="00B552C9"/>
    <w:rsid w:val="00B566D0"/>
    <w:rsid w:val="00B64880"/>
    <w:rsid w:val="00B71934"/>
    <w:rsid w:val="00B72561"/>
    <w:rsid w:val="00B76604"/>
    <w:rsid w:val="00B80B3E"/>
    <w:rsid w:val="00B82F75"/>
    <w:rsid w:val="00B85D17"/>
    <w:rsid w:val="00B94613"/>
    <w:rsid w:val="00B97D27"/>
    <w:rsid w:val="00BA675B"/>
    <w:rsid w:val="00BB215D"/>
    <w:rsid w:val="00BB57B6"/>
    <w:rsid w:val="00BF1239"/>
    <w:rsid w:val="00BF6DB8"/>
    <w:rsid w:val="00C008EF"/>
    <w:rsid w:val="00C00F38"/>
    <w:rsid w:val="00C15BEB"/>
    <w:rsid w:val="00C2432B"/>
    <w:rsid w:val="00C30656"/>
    <w:rsid w:val="00C32B46"/>
    <w:rsid w:val="00C52F5B"/>
    <w:rsid w:val="00C6444F"/>
    <w:rsid w:val="00C746A9"/>
    <w:rsid w:val="00C76766"/>
    <w:rsid w:val="00C80BE8"/>
    <w:rsid w:val="00C858A8"/>
    <w:rsid w:val="00C90946"/>
    <w:rsid w:val="00C93ED6"/>
    <w:rsid w:val="00CB15FA"/>
    <w:rsid w:val="00CB39B1"/>
    <w:rsid w:val="00CB5DEB"/>
    <w:rsid w:val="00CC18E9"/>
    <w:rsid w:val="00CE7922"/>
    <w:rsid w:val="00CF5343"/>
    <w:rsid w:val="00CF6A05"/>
    <w:rsid w:val="00D03427"/>
    <w:rsid w:val="00D04517"/>
    <w:rsid w:val="00D05DD5"/>
    <w:rsid w:val="00D11A13"/>
    <w:rsid w:val="00D16C22"/>
    <w:rsid w:val="00D2050D"/>
    <w:rsid w:val="00D447B2"/>
    <w:rsid w:val="00D44CA1"/>
    <w:rsid w:val="00D51E8D"/>
    <w:rsid w:val="00D53F3F"/>
    <w:rsid w:val="00D700CC"/>
    <w:rsid w:val="00D73913"/>
    <w:rsid w:val="00D932FB"/>
    <w:rsid w:val="00DA7481"/>
    <w:rsid w:val="00DB50A2"/>
    <w:rsid w:val="00DD2943"/>
    <w:rsid w:val="00DD38C0"/>
    <w:rsid w:val="00DE0837"/>
    <w:rsid w:val="00DF1A89"/>
    <w:rsid w:val="00DF7AF1"/>
    <w:rsid w:val="00DF7B94"/>
    <w:rsid w:val="00E0708D"/>
    <w:rsid w:val="00E31605"/>
    <w:rsid w:val="00E454F0"/>
    <w:rsid w:val="00E61D37"/>
    <w:rsid w:val="00E77233"/>
    <w:rsid w:val="00E83E9B"/>
    <w:rsid w:val="00E86BB6"/>
    <w:rsid w:val="00EA37AA"/>
    <w:rsid w:val="00EB02A7"/>
    <w:rsid w:val="00EB3115"/>
    <w:rsid w:val="00EC283E"/>
    <w:rsid w:val="00EC758D"/>
    <w:rsid w:val="00ED38ED"/>
    <w:rsid w:val="00F02C63"/>
    <w:rsid w:val="00F15895"/>
    <w:rsid w:val="00F17900"/>
    <w:rsid w:val="00F17D1B"/>
    <w:rsid w:val="00F32301"/>
    <w:rsid w:val="00F5321C"/>
    <w:rsid w:val="00F71B63"/>
    <w:rsid w:val="00F7594B"/>
    <w:rsid w:val="00F91CDF"/>
    <w:rsid w:val="00F91CF5"/>
    <w:rsid w:val="00F93424"/>
    <w:rsid w:val="00F9483F"/>
    <w:rsid w:val="00F948A5"/>
    <w:rsid w:val="00F96A3C"/>
    <w:rsid w:val="00F97347"/>
    <w:rsid w:val="00FA69D1"/>
    <w:rsid w:val="00FB45D7"/>
    <w:rsid w:val="00FD5B37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35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35D"/>
    <w:rPr>
      <w:rFonts w:ascii="Calibri" w:hAnsi="Calibri" w:cs="Calibri"/>
      <w:sz w:val="22"/>
      <w:szCs w:val="22"/>
      <w:lang w:eastAsia="en-US"/>
    </w:rPr>
  </w:style>
  <w:style w:type="character" w:customStyle="1" w:styleId="xfm91740863">
    <w:name w:val="xfm_91740863"/>
    <w:basedOn w:val="a0"/>
    <w:rsid w:val="0064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35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35D"/>
    <w:rPr>
      <w:rFonts w:ascii="Calibri" w:hAnsi="Calibri" w:cs="Calibri"/>
      <w:sz w:val="22"/>
      <w:szCs w:val="22"/>
      <w:lang w:eastAsia="en-US"/>
    </w:rPr>
  </w:style>
  <w:style w:type="character" w:customStyle="1" w:styleId="xfm91740863">
    <w:name w:val="xfm_91740863"/>
    <w:basedOn w:val="a0"/>
    <w:rsid w:val="0064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6583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</dc:creator>
  <cp:lastModifiedBy>Lesia</cp:lastModifiedBy>
  <cp:revision>5</cp:revision>
  <dcterms:created xsi:type="dcterms:W3CDTF">2015-07-20T17:08:00Z</dcterms:created>
  <dcterms:modified xsi:type="dcterms:W3CDTF">2015-07-20T17:52:00Z</dcterms:modified>
</cp:coreProperties>
</file>